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B71DE9" w:rsidRPr="00B71DE9" w14:paraId="25C3706C" w14:textId="77777777" w:rsidTr="00B71DE9">
        <w:trPr>
          <w:tblCellSpacing w:w="0" w:type="dxa"/>
          <w:jc w:val="center"/>
        </w:trPr>
        <w:tc>
          <w:tcPr>
            <w:tcW w:w="600" w:type="dxa"/>
            <w:vAlign w:val="center"/>
            <w:hideMark/>
          </w:tcPr>
          <w:p w14:paraId="25C3706B" w14:textId="77777777" w:rsidR="00B71DE9" w:rsidRPr="00B71DE9" w:rsidRDefault="00B71DE9" w:rsidP="00B71DE9">
            <w:pPr>
              <w:rPr>
                <w:rFonts w:ascii="Verdana" w:hAnsi="Verdana"/>
                <w:color w:val="444444"/>
                <w:sz w:val="15"/>
                <w:szCs w:val="15"/>
              </w:rPr>
            </w:pPr>
            <w:bookmarkStart w:id="0" w:name="_GoBack"/>
            <w:bookmarkEnd w:id="0"/>
            <w:r>
              <w:rPr>
                <w:rFonts w:ascii="Verdana" w:hAnsi="Verdana"/>
                <w:noProof/>
                <w:color w:val="444444"/>
                <w:sz w:val="15"/>
                <w:szCs w:val="15"/>
              </w:rPr>
              <w:drawing>
                <wp:inline distT="0" distB="0" distL="0" distR="0" wp14:anchorId="25C3708F" wp14:editId="25C37090">
                  <wp:extent cx="1704975" cy="466725"/>
                  <wp:effectExtent l="0" t="0" r="9525" b="9525"/>
                  <wp:docPr id="1" name="Bildobjekt 1" descr="Hyregästföre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regästförenin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a:ln>
                            <a:noFill/>
                          </a:ln>
                        </pic:spPr>
                      </pic:pic>
                    </a:graphicData>
                  </a:graphic>
                </wp:inline>
              </w:drawing>
            </w:r>
          </w:p>
        </w:tc>
      </w:tr>
      <w:tr w:rsidR="00B71DE9" w:rsidRPr="00B71DE9" w14:paraId="25C3706E" w14:textId="77777777" w:rsidTr="00B71DE9">
        <w:trPr>
          <w:tblCellSpacing w:w="0" w:type="dxa"/>
          <w:jc w:val="center"/>
        </w:trPr>
        <w:tc>
          <w:tcPr>
            <w:tcW w:w="0" w:type="auto"/>
            <w:vAlign w:val="center"/>
            <w:hideMark/>
          </w:tcPr>
          <w:p w14:paraId="25C3706D" w14:textId="77777777" w:rsidR="00B71DE9" w:rsidRPr="00D173F2" w:rsidRDefault="00B71DE9" w:rsidP="003D4156">
            <w:pPr>
              <w:rPr>
                <w:rFonts w:ascii="Arial" w:hAnsi="Arial" w:cs="Arial"/>
                <w:b/>
                <w:bCs/>
                <w:i/>
                <w:color w:val="FF0000"/>
                <w:sz w:val="20"/>
              </w:rPr>
            </w:pPr>
            <w:r w:rsidRPr="00B71DE9">
              <w:rPr>
                <w:rFonts w:ascii="Arial" w:hAnsi="Arial" w:cs="Arial"/>
                <w:b/>
                <w:bCs/>
                <w:color w:val="444444"/>
                <w:sz w:val="20"/>
              </w:rPr>
              <w:br/>
              <w:t>Alkohol-och drogpolicy</w:t>
            </w:r>
            <w:r w:rsidR="00D173F2">
              <w:rPr>
                <w:rFonts w:ascii="Arial" w:hAnsi="Arial" w:cs="Arial"/>
                <w:b/>
                <w:bCs/>
                <w:color w:val="444444"/>
                <w:sz w:val="20"/>
              </w:rPr>
              <w:t xml:space="preserve"> </w:t>
            </w:r>
            <w:r w:rsidR="003D4156">
              <w:rPr>
                <w:rFonts w:ascii="Arial" w:hAnsi="Arial" w:cs="Arial"/>
                <w:b/>
                <w:bCs/>
                <w:i/>
                <w:color w:val="FF0000"/>
                <w:sz w:val="20"/>
              </w:rPr>
              <w:t>omarbetas</w:t>
            </w:r>
            <w:r w:rsidR="00D173F2">
              <w:rPr>
                <w:rFonts w:ascii="Arial" w:hAnsi="Arial" w:cs="Arial"/>
                <w:b/>
                <w:bCs/>
                <w:i/>
                <w:color w:val="FF0000"/>
                <w:sz w:val="20"/>
              </w:rPr>
              <w:t xml:space="preserve"> </w:t>
            </w:r>
          </w:p>
        </w:tc>
      </w:tr>
      <w:tr w:rsidR="00B71DE9" w:rsidRPr="00B71DE9" w14:paraId="25C3708D" w14:textId="77777777" w:rsidTr="00B71DE9">
        <w:trPr>
          <w:tblCellSpacing w:w="0" w:type="dxa"/>
          <w:jc w:val="center"/>
        </w:trPr>
        <w:tc>
          <w:tcPr>
            <w:tcW w:w="0" w:type="auto"/>
            <w:vAlign w:val="center"/>
            <w:hideMark/>
          </w:tcPr>
          <w:p w14:paraId="25C3706F" w14:textId="77777777" w:rsidR="00B71DE9" w:rsidRPr="00B71DE9" w:rsidRDefault="00B71DE9" w:rsidP="00B71DE9">
            <w:pPr>
              <w:rPr>
                <w:rFonts w:ascii="Verdana" w:hAnsi="Verdana"/>
                <w:color w:val="444444"/>
                <w:sz w:val="16"/>
                <w:szCs w:val="16"/>
              </w:rPr>
            </w:pPr>
          </w:p>
          <w:p w14:paraId="25C37070"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color w:val="444444"/>
                <w:sz w:val="16"/>
                <w:szCs w:val="16"/>
              </w:rPr>
              <w:t>Missbruk av alkohol och andra droger är ett stort problem samhällsekonomiskt och socialt. I de flesta miljöer förekommer missbruk. Det är viktigt att varje medarbetare känner ett medmänskligt ansvar för arbetskamrater som drabbas av drogberoende. Arbetsledningen har naturligtvis härvidlag ett särskilt ansvar. Missbruksproblem ska behandlas under sekretess och att den berördas integritet skyddas.</w:t>
            </w:r>
            <w:r w:rsidRPr="00B71DE9">
              <w:rPr>
                <w:rFonts w:ascii="Verdana" w:hAnsi="Verdana"/>
                <w:color w:val="444444"/>
                <w:sz w:val="16"/>
                <w:szCs w:val="16"/>
              </w:rPr>
              <w:br/>
              <w:t>Det är viktigt att arbetsgivaren, fackliga organisationer, skyddskommitté/personalkommitté och företagshälsovård har en gemensam syn på alkohol- och drogförebyggande verksamhet.</w:t>
            </w:r>
          </w:p>
          <w:p w14:paraId="25C37071"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color w:val="444444"/>
                <w:sz w:val="16"/>
                <w:szCs w:val="16"/>
              </w:rPr>
              <w:t>Alkohol och andra droger får ej förtäras inom Hyresgästföreningens kontor eller övriga arbetsplatser under arbetstid.</w:t>
            </w:r>
          </w:p>
          <w:p w14:paraId="25C37072"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color w:val="444444"/>
                <w:sz w:val="16"/>
                <w:szCs w:val="16"/>
              </w:rPr>
              <w:t>Den 13 juni 2010 beslutade Hyresgästföreningens stämma att alkohol inte ska bekostas av Hyresgästföreningen vid aktiviteter. Det betyder att Hyresgästföreningen aldrig bekostar alkohol för sina medarbetare.</w:t>
            </w:r>
          </w:p>
          <w:p w14:paraId="25C37073"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Mål</w:t>
            </w:r>
            <w:r w:rsidRPr="00B71DE9">
              <w:rPr>
                <w:rFonts w:ascii="Verdana" w:hAnsi="Verdana"/>
                <w:color w:val="444444"/>
                <w:sz w:val="16"/>
                <w:szCs w:val="16"/>
              </w:rPr>
              <w:br/>
              <w:t xml:space="preserve">Vår alkohol- och drogförebyggande verksamhet syftar till att undvika att medarbetare hamnar i missbruk. </w:t>
            </w:r>
          </w:p>
          <w:p w14:paraId="25C37074" w14:textId="77777777" w:rsidR="00B71DE9" w:rsidRPr="00B71DE9" w:rsidRDefault="00B71DE9" w:rsidP="00B71DE9">
            <w:pPr>
              <w:numPr>
                <w:ilvl w:val="0"/>
                <w:numId w:val="32"/>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Medarbetare med alkohol- och drogproblem ska få hjälp. </w:t>
            </w:r>
          </w:p>
          <w:p w14:paraId="25C37075" w14:textId="77777777" w:rsidR="00B71DE9" w:rsidRPr="00B71DE9" w:rsidRDefault="00B71DE9" w:rsidP="00B71DE9">
            <w:pPr>
              <w:numPr>
                <w:ilvl w:val="0"/>
                <w:numId w:val="32"/>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Genom aktiva åtgärder förhindra att bruk av alkohol och andra droger övergår till missbruk och utslagning.</w:t>
            </w:r>
          </w:p>
          <w:p w14:paraId="25C37076"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Chefens ansvar</w:t>
            </w:r>
            <w:r w:rsidRPr="00B71DE9">
              <w:rPr>
                <w:rFonts w:ascii="Verdana" w:hAnsi="Verdana"/>
                <w:color w:val="444444"/>
                <w:sz w:val="16"/>
                <w:szCs w:val="16"/>
              </w:rPr>
              <w:br/>
              <w:t>Att ta initiativ och söka sakkunnig hjälp vid misstanke om medarbetares alkohol- och drogmissbruk.</w:t>
            </w:r>
          </w:p>
          <w:p w14:paraId="25C37077"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Medarbetarens ansvar</w:t>
            </w:r>
            <w:r w:rsidRPr="00B71DE9">
              <w:rPr>
                <w:rFonts w:ascii="Verdana" w:hAnsi="Verdana"/>
                <w:color w:val="444444"/>
                <w:sz w:val="16"/>
                <w:szCs w:val="16"/>
              </w:rPr>
              <w:br/>
              <w:t>Att följa Hyresgästföreningens alkohol- och drogpolicy. Vid missbruk aktivt delta och följa behandlingsplan.</w:t>
            </w:r>
          </w:p>
          <w:p w14:paraId="25C37078"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Förebyggande åtgärder</w:t>
            </w:r>
          </w:p>
          <w:p w14:paraId="25C37079" w14:textId="77777777" w:rsidR="00B71DE9" w:rsidRPr="00B71DE9" w:rsidRDefault="00B71DE9" w:rsidP="00B71DE9">
            <w:pPr>
              <w:numPr>
                <w:ilvl w:val="0"/>
                <w:numId w:val="33"/>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I samband med nyanställning och vid introduktion ska information lämnas om handlingsprogram i alkohol- och drogfrågor. </w:t>
            </w:r>
          </w:p>
          <w:p w14:paraId="25C3707A" w14:textId="77777777" w:rsidR="00B71DE9" w:rsidRPr="00B71DE9" w:rsidRDefault="00B71DE9" w:rsidP="00B71DE9">
            <w:pPr>
              <w:numPr>
                <w:ilvl w:val="0"/>
                <w:numId w:val="33"/>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I den förebyggande verksamheten är det särskilt angeläget att företagshälsovårdens resurser och kompetens tas i anspråk. </w:t>
            </w:r>
          </w:p>
          <w:p w14:paraId="25C3707B" w14:textId="77777777" w:rsidR="00B71DE9" w:rsidRPr="00B71DE9" w:rsidRDefault="00B71DE9" w:rsidP="00B71DE9">
            <w:pPr>
              <w:numPr>
                <w:ilvl w:val="0"/>
                <w:numId w:val="33"/>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Det åligger personal-/skyddskommitté att ta initiativ till information och utbildning för att öka kunskaper om alkohol och andra drogers skadliga verkan och att arbeta aktivt för att förändra attityder och fördomar kring missbruksproblem samt motverka drogmissbrukets myter. </w:t>
            </w:r>
          </w:p>
          <w:p w14:paraId="25C3707C" w14:textId="77777777" w:rsidR="00B71DE9" w:rsidRPr="00B71DE9" w:rsidRDefault="00B71DE9" w:rsidP="00B71DE9">
            <w:pPr>
              <w:numPr>
                <w:ilvl w:val="0"/>
                <w:numId w:val="33"/>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Nära samarbete med Alnagruppen.</w:t>
            </w:r>
          </w:p>
          <w:p w14:paraId="25C3707D"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Åtgärder och rutiner</w:t>
            </w:r>
          </w:p>
          <w:p w14:paraId="25C3707E"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Den som uppträder alkohol- eller drogpåverkad på arbetsplatsen ska sändas hem. Närmaste chef/arbetsledare ser till att den som är påverkad lämnar arbetsplatsen. Vid behov tryggas hemfärden. </w:t>
            </w:r>
          </w:p>
          <w:p w14:paraId="25C3707F"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Alla medarbetare bör ingripa då de observerar att någon är påverkad av alkohol eller andra droger i arbetet. Medarbetaren kan vara till fara för sig själv och sina arbetskamrater. Här har framför allt arbetsledning och skyddsombud ett viktigt ansvar. </w:t>
            </w:r>
          </w:p>
          <w:p w14:paraId="25C37080"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Löneavdrag ska göras för den arbetstid som fullgod arbetsinsats ej kunnat ske. Ledighet ska inte beviljas i efterhand. </w:t>
            </w:r>
          </w:p>
          <w:p w14:paraId="25C37081"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Personalchefen ska alltid informeras om det inträffade. </w:t>
            </w:r>
          </w:p>
          <w:p w14:paraId="25C37082"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lastRenderedPageBreak/>
              <w:t xml:space="preserve">Den som uppträtt påverkad, ska snarast kallas till enskilt samtal med sin chef/arbetsledare som förklarar det felaktiga i handlingssättet och informerar om de vårdmöjligheter som finns i första hand via företagshälsovården. Stöd till arbetsledare och medarbetare kan ges av Alna-gruppen. Samtal och överenskommelser ska dokumenteras och arkiveras på personalenheten. </w:t>
            </w:r>
          </w:p>
          <w:p w14:paraId="25C37083"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Genom lämpliga individanpassade åtgärder ska medarbetare med alkohol- och drogproblem stödjas. I rehabiliteringsarbetet krävs medarbetarens positiva och aktiva medverkan i behandling för sitt tillfrisknande. </w:t>
            </w:r>
          </w:p>
          <w:p w14:paraId="25C37084"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Medarbetarnas medverkan till stöd ska eftersträvas. Det är dock alltid chefens/arbetsledarens ansvar att prata med en medarbetare om dennes missbruksproblem. </w:t>
            </w:r>
          </w:p>
          <w:p w14:paraId="25C37085" w14:textId="77777777" w:rsidR="00B71DE9" w:rsidRPr="00B71DE9" w:rsidRDefault="00B71DE9" w:rsidP="00B71DE9">
            <w:pPr>
              <w:numPr>
                <w:ilvl w:val="0"/>
                <w:numId w:val="34"/>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Om vistelse på behandlingshem blir aktuell ska lämplig person beredas möjlighet att följa med medarbetaren till behandlingshemmet och etablera kontakt med behandlingshemmets personal som kan upprätthållas under behandlingstiden.</w:t>
            </w:r>
          </w:p>
          <w:p w14:paraId="25C37086"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Individuell handlingsplan</w:t>
            </w:r>
            <w:r w:rsidRPr="00B71DE9">
              <w:rPr>
                <w:rFonts w:ascii="Verdana" w:hAnsi="Verdana"/>
                <w:b/>
                <w:bCs/>
                <w:color w:val="444444"/>
                <w:sz w:val="16"/>
                <w:szCs w:val="16"/>
              </w:rPr>
              <w:br/>
            </w:r>
            <w:r w:rsidRPr="00B71DE9">
              <w:rPr>
                <w:rFonts w:ascii="Verdana" w:hAnsi="Verdana"/>
                <w:color w:val="444444"/>
                <w:sz w:val="16"/>
                <w:szCs w:val="16"/>
              </w:rPr>
              <w:t>En handlingsplan upprättas i samverkan med medarbetaren, chef/arbetsledare och personalchef. Handlingsplanen är individuell och ska anpassas så att bästa resultat uppnås. Planen utformas som ett avtal som undertecknas av medarbetaren, dennes chef och personalchef.</w:t>
            </w:r>
          </w:p>
          <w:p w14:paraId="25C37087"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Företagshälsovårdens roll</w:t>
            </w:r>
            <w:r w:rsidRPr="00B71DE9">
              <w:rPr>
                <w:rFonts w:ascii="Verdana" w:hAnsi="Verdana"/>
                <w:color w:val="444444"/>
                <w:sz w:val="16"/>
                <w:szCs w:val="16"/>
              </w:rPr>
              <w:br/>
              <w:t>Vid akuta vård- och behandlingsåtgärder underrättas personalenheten och företagshälsovården  snarast möjligt. Företagshälsovården och personalenheten kan då i samarbete hjälpa till med samtal, uppföljning och rehabilitering av den vårdbehövande. Vid behov tas kontakt med andra vårdenheter.</w:t>
            </w:r>
          </w:p>
          <w:p w14:paraId="25C37088"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Återgång till arbete</w:t>
            </w:r>
          </w:p>
          <w:p w14:paraId="25C37089" w14:textId="77777777" w:rsidR="00B71DE9" w:rsidRPr="00B71DE9" w:rsidRDefault="00B71DE9" w:rsidP="00B71DE9">
            <w:pPr>
              <w:numPr>
                <w:ilvl w:val="0"/>
                <w:numId w:val="35"/>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 xml:space="preserve">Vid återgång till arbetet efter en eventuell sjukskrivning eller vårdtid med anledning av alkohol- eller drogmissbruk bör arbetsledare och arbetskamrater engageras för stöd och hjälp till återanpassning under största möjliga sekretess. </w:t>
            </w:r>
          </w:p>
          <w:p w14:paraId="25C3708A" w14:textId="77777777" w:rsidR="00B71DE9" w:rsidRPr="00B71DE9" w:rsidRDefault="00B71DE9" w:rsidP="00B71DE9">
            <w:pPr>
              <w:numPr>
                <w:ilvl w:val="0"/>
                <w:numId w:val="35"/>
              </w:numPr>
              <w:spacing w:before="100" w:beforeAutospacing="1" w:after="100" w:afterAutospacing="1"/>
              <w:rPr>
                <w:rFonts w:ascii="Verdana" w:hAnsi="Verdana"/>
                <w:color w:val="444444"/>
                <w:sz w:val="16"/>
                <w:szCs w:val="16"/>
              </w:rPr>
            </w:pPr>
            <w:r w:rsidRPr="00B71DE9">
              <w:rPr>
                <w:rFonts w:ascii="Verdana" w:hAnsi="Verdana"/>
                <w:color w:val="444444"/>
                <w:sz w:val="16"/>
                <w:szCs w:val="16"/>
              </w:rPr>
              <w:t>Omplacering kan förekomma i speciella fall. I första hand ska eftersträvas ett bibehållande av den egna tjänsten.</w:t>
            </w:r>
          </w:p>
          <w:p w14:paraId="25C3708B"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Påföljder</w:t>
            </w:r>
            <w:r w:rsidRPr="00B71DE9">
              <w:rPr>
                <w:rFonts w:ascii="Verdana" w:hAnsi="Verdana"/>
                <w:b/>
                <w:bCs/>
                <w:color w:val="444444"/>
                <w:sz w:val="16"/>
                <w:szCs w:val="16"/>
              </w:rPr>
              <w:br/>
            </w:r>
            <w:r w:rsidRPr="00B71DE9">
              <w:rPr>
                <w:rFonts w:ascii="Verdana" w:hAnsi="Verdana"/>
                <w:color w:val="444444"/>
                <w:sz w:val="16"/>
                <w:szCs w:val="16"/>
              </w:rPr>
              <w:t>Vid upprepning av onykterhet under arbetstid och då vidtagna åtgärder ej gett resultat erhålls en skriftlig erinran – där vederbörande informeras om att vid ytterligare onykterhet i tjänsten kan förhandling upptas med facklig organisation om uppsägning. Preskriptionstid är två månader efter senast inträffade händelse.</w:t>
            </w:r>
          </w:p>
          <w:p w14:paraId="25C3708C" w14:textId="77777777" w:rsidR="00B71DE9" w:rsidRPr="00B71DE9" w:rsidRDefault="00B71DE9" w:rsidP="00B71DE9">
            <w:pPr>
              <w:spacing w:before="100" w:beforeAutospacing="1" w:after="100" w:afterAutospacing="1"/>
              <w:rPr>
                <w:rFonts w:ascii="Verdana" w:hAnsi="Verdana"/>
                <w:color w:val="444444"/>
                <w:sz w:val="16"/>
                <w:szCs w:val="16"/>
              </w:rPr>
            </w:pPr>
            <w:r w:rsidRPr="00B71DE9">
              <w:rPr>
                <w:rFonts w:ascii="Verdana" w:hAnsi="Verdana"/>
                <w:b/>
                <w:bCs/>
                <w:color w:val="444444"/>
                <w:sz w:val="16"/>
                <w:szCs w:val="16"/>
              </w:rPr>
              <w:t>Samordning</w:t>
            </w:r>
            <w:r w:rsidRPr="00B71DE9">
              <w:rPr>
                <w:rFonts w:ascii="Verdana" w:hAnsi="Verdana"/>
                <w:b/>
                <w:bCs/>
                <w:color w:val="444444"/>
                <w:sz w:val="16"/>
                <w:szCs w:val="16"/>
              </w:rPr>
              <w:br/>
            </w:r>
            <w:r w:rsidRPr="00B71DE9">
              <w:rPr>
                <w:rFonts w:ascii="Verdana" w:hAnsi="Verdana"/>
                <w:color w:val="444444"/>
                <w:sz w:val="16"/>
                <w:szCs w:val="16"/>
              </w:rPr>
              <w:t>Personalchefen är ansvarig för samordning av den alkohol- och drogförebyggande verksamheten på arbetsplatsen.</w:t>
            </w:r>
          </w:p>
        </w:tc>
      </w:tr>
    </w:tbl>
    <w:p w14:paraId="25C3708E" w14:textId="77777777" w:rsidR="00AD3EC5" w:rsidRPr="00AD3EC5" w:rsidRDefault="00AD3EC5" w:rsidP="00AD3EC5"/>
    <w:sectPr w:rsidR="00AD3EC5" w:rsidRPr="00AD3EC5" w:rsidSect="00DE5246">
      <w:headerReference w:type="default" r:id="rId14"/>
      <w:type w:val="continuous"/>
      <w:pgSz w:w="11906" w:h="16838" w:code="9"/>
      <w:pgMar w:top="1418" w:right="1418" w:bottom="1418" w:left="1418" w:header="510" w:footer="5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37093" w14:textId="77777777" w:rsidR="00B71DE9" w:rsidRDefault="00B71DE9">
      <w:r>
        <w:separator/>
      </w:r>
    </w:p>
  </w:endnote>
  <w:endnote w:type="continuationSeparator" w:id="0">
    <w:p w14:paraId="25C37094" w14:textId="77777777" w:rsidR="00B71DE9" w:rsidRDefault="00B7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7091" w14:textId="77777777" w:rsidR="00B71DE9" w:rsidRDefault="00B71DE9">
      <w:r>
        <w:separator/>
      </w:r>
    </w:p>
  </w:footnote>
  <w:footnote w:type="continuationSeparator" w:id="0">
    <w:p w14:paraId="25C37092" w14:textId="77777777" w:rsidR="00B71DE9" w:rsidRDefault="00B7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7095" w14:textId="77777777" w:rsidR="00F55105" w:rsidRPr="00F029F8" w:rsidRDefault="00F55105" w:rsidP="00F029F8">
    <w:pPr>
      <w:pStyle w:val="Sidhuvud"/>
      <w:tabs>
        <w:tab w:val="clear" w:pos="4536"/>
        <w:tab w:val="center" w:pos="6663"/>
      </w:tabs>
      <w:ind w:left="-2534"/>
      <w:jc w:val="right"/>
      <w:rPr>
        <w:rStyle w:val="Sidnummer"/>
        <w:noProof/>
      </w:rPr>
    </w:pPr>
    <w:r>
      <w:rPr>
        <w:rStyle w:val="Sidnumm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D0DA1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72660C36"/>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879CEC56"/>
    <w:lvl w:ilvl="0">
      <w:start w:val="1"/>
      <w:numFmt w:val="bullet"/>
      <w:lvlText w:val=""/>
      <w:lvlJc w:val="left"/>
      <w:pPr>
        <w:tabs>
          <w:tab w:val="num" w:pos="700"/>
        </w:tabs>
        <w:ind w:left="510" w:hanging="170"/>
      </w:pPr>
      <w:rPr>
        <w:rFonts w:ascii="Symbol" w:hAnsi="Symbol" w:hint="default"/>
      </w:rPr>
    </w:lvl>
  </w:abstractNum>
  <w:abstractNum w:abstractNumId="3" w15:restartNumberingAfterBreak="0">
    <w:nsid w:val="FFFFFF89"/>
    <w:multiLevelType w:val="singleLevel"/>
    <w:tmpl w:val="808AD720"/>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08170FA9"/>
    <w:multiLevelType w:val="multilevel"/>
    <w:tmpl w:val="D7A0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7A7E"/>
    <w:multiLevelType w:val="multilevel"/>
    <w:tmpl w:val="DCCC1CB2"/>
    <w:styleLink w:val="ListaHyresgstfreningen"/>
    <w:lvl w:ilvl="0">
      <w:start w:val="1"/>
      <w:numFmt w:val="bullet"/>
      <w:lvlText w:val=""/>
      <w:lvlJc w:val="left"/>
      <w:pPr>
        <w:ind w:left="720" w:hanging="360"/>
      </w:pPr>
      <w:rPr>
        <w:rFonts w:ascii="Symbol" w:hAnsi="Symbol" w:hint="default"/>
        <w:color w:val="auto"/>
      </w:rPr>
    </w:lvl>
    <w:lvl w:ilvl="1">
      <w:start w:val="1"/>
      <w:numFmt w:val="bullet"/>
      <w:pStyle w:val="Lista2"/>
      <w:lvlText w:val=""/>
      <w:lvlJc w:val="left"/>
      <w:pPr>
        <w:ind w:left="1080" w:hanging="360"/>
      </w:pPr>
      <w:rPr>
        <w:rFonts w:ascii="Symbol" w:hAnsi="Symbol" w:hint="default"/>
        <w:color w:val="auto"/>
      </w:rPr>
    </w:lvl>
    <w:lvl w:ilvl="2">
      <w:start w:val="1"/>
      <w:numFmt w:val="bullet"/>
      <w:pStyle w:val="Lista3"/>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2E8769E"/>
    <w:multiLevelType w:val="multilevel"/>
    <w:tmpl w:val="5A34FF70"/>
    <w:lvl w:ilvl="0">
      <w:start w:val="1"/>
      <w:numFmt w:val="decimal"/>
      <w:pStyle w:val="Numreradrubrikniv1"/>
      <w:lvlText w:val="%1"/>
      <w:lvlJc w:val="left"/>
      <w:pPr>
        <w:tabs>
          <w:tab w:val="num" w:pos="-31680"/>
        </w:tabs>
        <w:ind w:left="1021" w:hanging="1021"/>
      </w:pPr>
      <w:rPr>
        <w:rFonts w:hint="default"/>
      </w:rPr>
    </w:lvl>
    <w:lvl w:ilvl="1">
      <w:start w:val="1"/>
      <w:numFmt w:val="decimal"/>
      <w:pStyle w:val="Numreradrubrikniv2"/>
      <w:lvlText w:val="%1.%2"/>
      <w:lvlJc w:val="left"/>
      <w:pPr>
        <w:tabs>
          <w:tab w:val="num" w:pos="-31680"/>
        </w:tabs>
        <w:ind w:left="1021" w:hanging="1021"/>
      </w:pPr>
      <w:rPr>
        <w:rFonts w:hint="default"/>
      </w:rPr>
    </w:lvl>
    <w:lvl w:ilvl="2">
      <w:start w:val="1"/>
      <w:numFmt w:val="decimal"/>
      <w:pStyle w:val="Numreradrubrikniv3"/>
      <w:lvlText w:val="%1.%2.%3"/>
      <w:lvlJc w:val="left"/>
      <w:pPr>
        <w:tabs>
          <w:tab w:val="num" w:pos="-31680"/>
        </w:tabs>
        <w:ind w:left="1021" w:hanging="1021"/>
      </w:pPr>
      <w:rPr>
        <w:rFonts w:hint="default"/>
      </w:rPr>
    </w:lvl>
    <w:lvl w:ilvl="3">
      <w:start w:val="1"/>
      <w:numFmt w:val="decimal"/>
      <w:pStyle w:val="Numreradrubrikniv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6250E9"/>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21CA6F03"/>
    <w:multiLevelType w:val="multilevel"/>
    <w:tmpl w:val="DCCC1CB2"/>
    <w:numStyleLink w:val="ListaHyresgstfreningen"/>
  </w:abstractNum>
  <w:abstractNum w:abstractNumId="9" w15:restartNumberingAfterBreak="0">
    <w:nsid w:val="2406259E"/>
    <w:multiLevelType w:val="singleLevel"/>
    <w:tmpl w:val="FB26659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652994"/>
    <w:multiLevelType w:val="multilevel"/>
    <w:tmpl w:val="9D542A98"/>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680"/>
        </w:tabs>
        <w:ind w:left="680" w:hanging="283"/>
      </w:pPr>
      <w:rPr>
        <w:rFonts w:ascii="Symbol" w:hAnsi="Symbol"/>
      </w:rPr>
    </w:lvl>
    <w:lvl w:ilvl="2">
      <w:start w:val="1"/>
      <w:numFmt w:val="bullet"/>
      <w:lvlText w:val=""/>
      <w:lvlJc w:val="left"/>
      <w:pPr>
        <w:tabs>
          <w:tab w:val="num" w:pos="964"/>
        </w:tabs>
        <w:ind w:left="964" w:hanging="284"/>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B271C"/>
    <w:multiLevelType w:val="multilevel"/>
    <w:tmpl w:val="DCCC1CB2"/>
    <w:numStyleLink w:val="ListaHyresgstfreningen"/>
  </w:abstractNum>
  <w:abstractNum w:abstractNumId="12" w15:restartNumberingAfterBreak="0">
    <w:nsid w:val="30D22122"/>
    <w:multiLevelType w:val="multilevel"/>
    <w:tmpl w:val="DCCC1CB2"/>
    <w:numStyleLink w:val="ListaHyresgstfreningen"/>
  </w:abstractNum>
  <w:abstractNum w:abstractNumId="13" w15:restartNumberingAfterBreak="0">
    <w:nsid w:val="3F3466F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B06DF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797768"/>
    <w:multiLevelType w:val="multilevel"/>
    <w:tmpl w:val="63F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22D7F"/>
    <w:multiLevelType w:val="multilevel"/>
    <w:tmpl w:val="DCCC1CB2"/>
    <w:numStyleLink w:val="ListaHyresgstfreningen"/>
  </w:abstractNum>
  <w:abstractNum w:abstractNumId="17" w15:restartNumberingAfterBreak="0">
    <w:nsid w:val="628D0639"/>
    <w:multiLevelType w:val="multilevel"/>
    <w:tmpl w:val="93242E6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57"/>
        </w:tabs>
        <w:ind w:left="680" w:hanging="283"/>
      </w:pPr>
      <w:rPr>
        <w:rFonts w:ascii="Symbol" w:hAnsi="Symbol" w:hint="default"/>
      </w:rPr>
    </w:lvl>
    <w:lvl w:ilvl="2">
      <w:start w:val="1"/>
      <w:numFmt w:val="bullet"/>
      <w:lvlText w:val=""/>
      <w:lvlJc w:val="left"/>
      <w:pPr>
        <w:tabs>
          <w:tab w:val="num" w:pos="964"/>
        </w:tabs>
        <w:ind w:left="964" w:hanging="284"/>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3008DE"/>
    <w:multiLevelType w:val="multilevel"/>
    <w:tmpl w:val="C584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E33BB"/>
    <w:multiLevelType w:val="multilevel"/>
    <w:tmpl w:val="7F9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82BE7"/>
    <w:multiLevelType w:val="singleLevel"/>
    <w:tmpl w:val="86D4D58C"/>
    <w:lvl w:ilvl="0">
      <w:start w:val="1"/>
      <w:numFmt w:val="bullet"/>
      <w:pStyle w:val="Punktlista2"/>
      <w:lvlText w:val=""/>
      <w:lvlJc w:val="left"/>
      <w:pPr>
        <w:tabs>
          <w:tab w:val="num" w:pos="700"/>
        </w:tabs>
        <w:ind w:left="510" w:hanging="170"/>
      </w:pPr>
      <w:rPr>
        <w:rFonts w:ascii="Symbol" w:hAnsi="Symbol" w:hint="default"/>
        <w:sz w:val="16"/>
      </w:rPr>
    </w:lvl>
  </w:abstractNum>
  <w:num w:numId="1">
    <w:abstractNumId w:val="3"/>
  </w:num>
  <w:num w:numId="2">
    <w:abstractNumId w:val="3"/>
  </w:num>
  <w:num w:numId="3">
    <w:abstractNumId w:val="2"/>
  </w:num>
  <w:num w:numId="4">
    <w:abstractNumId w:val="2"/>
  </w:num>
  <w:num w:numId="5">
    <w:abstractNumId w:val="3"/>
  </w:num>
  <w:num w:numId="6">
    <w:abstractNumId w:val="10"/>
  </w:num>
  <w:num w:numId="7">
    <w:abstractNumId w:val="17"/>
  </w:num>
  <w:num w:numId="8">
    <w:abstractNumId w:val="9"/>
  </w:num>
  <w:num w:numId="9">
    <w:abstractNumId w:val="20"/>
  </w:num>
  <w:num w:numId="10">
    <w:abstractNumId w:val="14"/>
  </w:num>
  <w:num w:numId="11">
    <w:abstractNumId w:val="5"/>
  </w:num>
  <w:num w:numId="12">
    <w:abstractNumId w:val="12"/>
  </w:num>
  <w:num w:numId="13">
    <w:abstractNumId w:val="0"/>
  </w:num>
  <w:num w:numId="14">
    <w:abstractNumId w:val="8"/>
  </w:num>
  <w:num w:numId="15">
    <w:abstractNumId w:val="16"/>
  </w:num>
  <w:num w:numId="16">
    <w:abstractNumId w:val="13"/>
  </w:num>
  <w:num w:numId="17">
    <w:abstractNumId w:val="11"/>
  </w:num>
  <w:num w:numId="18">
    <w:abstractNumId w:val="9"/>
  </w:num>
  <w:num w:numId="19">
    <w:abstractNumId w:val="20"/>
  </w:num>
  <w:num w:numId="20">
    <w:abstractNumId w:val="9"/>
  </w:num>
  <w:num w:numId="21">
    <w:abstractNumId w:val="20"/>
  </w:num>
  <w:num w:numId="22">
    <w:abstractNumId w:val="1"/>
  </w:num>
  <w:num w:numId="23">
    <w:abstractNumId w:val="7"/>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15"/>
  </w:num>
  <w:num w:numId="33">
    <w:abstractNumId w:val="18"/>
  </w:num>
  <w:num w:numId="34">
    <w:abstractNumId w:val="1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E9"/>
    <w:rsid w:val="00001381"/>
    <w:rsid w:val="000116C3"/>
    <w:rsid w:val="00021DE2"/>
    <w:rsid w:val="00023F98"/>
    <w:rsid w:val="00026EEB"/>
    <w:rsid w:val="00071F90"/>
    <w:rsid w:val="00072CBC"/>
    <w:rsid w:val="000A033C"/>
    <w:rsid w:val="000C3BCA"/>
    <w:rsid w:val="000F21FA"/>
    <w:rsid w:val="000F386B"/>
    <w:rsid w:val="00114B58"/>
    <w:rsid w:val="00117F7D"/>
    <w:rsid w:val="00140952"/>
    <w:rsid w:val="0015335F"/>
    <w:rsid w:val="00165DA9"/>
    <w:rsid w:val="00195A7B"/>
    <w:rsid w:val="001B74A6"/>
    <w:rsid w:val="001E3F27"/>
    <w:rsid w:val="001F0B68"/>
    <w:rsid w:val="001F7D80"/>
    <w:rsid w:val="00213AA4"/>
    <w:rsid w:val="00216828"/>
    <w:rsid w:val="00223162"/>
    <w:rsid w:val="00241974"/>
    <w:rsid w:val="00255CF5"/>
    <w:rsid w:val="00274E85"/>
    <w:rsid w:val="00293CEC"/>
    <w:rsid w:val="002D1A1D"/>
    <w:rsid w:val="002E1B14"/>
    <w:rsid w:val="00305BB2"/>
    <w:rsid w:val="00317D8A"/>
    <w:rsid w:val="00332AEC"/>
    <w:rsid w:val="00336D6B"/>
    <w:rsid w:val="003456F0"/>
    <w:rsid w:val="00350A53"/>
    <w:rsid w:val="00353D5A"/>
    <w:rsid w:val="003710C9"/>
    <w:rsid w:val="003C5B3B"/>
    <w:rsid w:val="003D4156"/>
    <w:rsid w:val="003D5D04"/>
    <w:rsid w:val="00401F5A"/>
    <w:rsid w:val="00414A5E"/>
    <w:rsid w:val="00422C73"/>
    <w:rsid w:val="00437837"/>
    <w:rsid w:val="004472CE"/>
    <w:rsid w:val="0045269C"/>
    <w:rsid w:val="00467A62"/>
    <w:rsid w:val="00481459"/>
    <w:rsid w:val="0048383D"/>
    <w:rsid w:val="004C57E7"/>
    <w:rsid w:val="0052735A"/>
    <w:rsid w:val="00527FB5"/>
    <w:rsid w:val="00533FC1"/>
    <w:rsid w:val="00555C2F"/>
    <w:rsid w:val="00560176"/>
    <w:rsid w:val="00573CE2"/>
    <w:rsid w:val="005B6ACD"/>
    <w:rsid w:val="005C347E"/>
    <w:rsid w:val="005D0EF5"/>
    <w:rsid w:val="00600EA3"/>
    <w:rsid w:val="00604F14"/>
    <w:rsid w:val="00627251"/>
    <w:rsid w:val="006641E8"/>
    <w:rsid w:val="00665F03"/>
    <w:rsid w:val="00672A04"/>
    <w:rsid w:val="006940B1"/>
    <w:rsid w:val="006A168E"/>
    <w:rsid w:val="006A310C"/>
    <w:rsid w:val="006A488D"/>
    <w:rsid w:val="006C0BFF"/>
    <w:rsid w:val="00714F71"/>
    <w:rsid w:val="0075743E"/>
    <w:rsid w:val="0079416B"/>
    <w:rsid w:val="007A3DA8"/>
    <w:rsid w:val="007E3D12"/>
    <w:rsid w:val="00823098"/>
    <w:rsid w:val="00865EDE"/>
    <w:rsid w:val="00873F4D"/>
    <w:rsid w:val="008839C9"/>
    <w:rsid w:val="00891FF2"/>
    <w:rsid w:val="008A1B98"/>
    <w:rsid w:val="008D53B3"/>
    <w:rsid w:val="008E7B15"/>
    <w:rsid w:val="008F1D0A"/>
    <w:rsid w:val="00900FA6"/>
    <w:rsid w:val="0090344A"/>
    <w:rsid w:val="00907EF8"/>
    <w:rsid w:val="00916203"/>
    <w:rsid w:val="00943012"/>
    <w:rsid w:val="009647EE"/>
    <w:rsid w:val="00970B21"/>
    <w:rsid w:val="009978E3"/>
    <w:rsid w:val="009C6B85"/>
    <w:rsid w:val="009E1284"/>
    <w:rsid w:val="009F639F"/>
    <w:rsid w:val="00A1206F"/>
    <w:rsid w:val="00A31DA6"/>
    <w:rsid w:val="00A347D8"/>
    <w:rsid w:val="00A42A1F"/>
    <w:rsid w:val="00A45142"/>
    <w:rsid w:val="00A80ADD"/>
    <w:rsid w:val="00A8289D"/>
    <w:rsid w:val="00A872D6"/>
    <w:rsid w:val="00AA6770"/>
    <w:rsid w:val="00AB0FB4"/>
    <w:rsid w:val="00AC0248"/>
    <w:rsid w:val="00AD0C6C"/>
    <w:rsid w:val="00AD3EC5"/>
    <w:rsid w:val="00AF3F22"/>
    <w:rsid w:val="00B10FD7"/>
    <w:rsid w:val="00B26D5A"/>
    <w:rsid w:val="00B60524"/>
    <w:rsid w:val="00B71DE9"/>
    <w:rsid w:val="00B9066E"/>
    <w:rsid w:val="00BA4E18"/>
    <w:rsid w:val="00BB5289"/>
    <w:rsid w:val="00BE1F17"/>
    <w:rsid w:val="00C01438"/>
    <w:rsid w:val="00C2416D"/>
    <w:rsid w:val="00C36BAF"/>
    <w:rsid w:val="00C62C02"/>
    <w:rsid w:val="00C63D50"/>
    <w:rsid w:val="00CA4670"/>
    <w:rsid w:val="00CD0C1F"/>
    <w:rsid w:val="00CE1597"/>
    <w:rsid w:val="00CE478C"/>
    <w:rsid w:val="00D1561A"/>
    <w:rsid w:val="00D173F2"/>
    <w:rsid w:val="00D44A75"/>
    <w:rsid w:val="00D61A67"/>
    <w:rsid w:val="00D65ACC"/>
    <w:rsid w:val="00D72C79"/>
    <w:rsid w:val="00D76A81"/>
    <w:rsid w:val="00D77C89"/>
    <w:rsid w:val="00D82AF9"/>
    <w:rsid w:val="00D90EBD"/>
    <w:rsid w:val="00DC23B6"/>
    <w:rsid w:val="00DE5246"/>
    <w:rsid w:val="00E00612"/>
    <w:rsid w:val="00E03019"/>
    <w:rsid w:val="00E1285D"/>
    <w:rsid w:val="00E23975"/>
    <w:rsid w:val="00E37711"/>
    <w:rsid w:val="00E60E7F"/>
    <w:rsid w:val="00E77680"/>
    <w:rsid w:val="00E81AC0"/>
    <w:rsid w:val="00E85DD9"/>
    <w:rsid w:val="00E969DD"/>
    <w:rsid w:val="00EA43E1"/>
    <w:rsid w:val="00EB58E7"/>
    <w:rsid w:val="00ED6FA9"/>
    <w:rsid w:val="00EF013A"/>
    <w:rsid w:val="00EF3F6C"/>
    <w:rsid w:val="00EF7489"/>
    <w:rsid w:val="00F00873"/>
    <w:rsid w:val="00F029F8"/>
    <w:rsid w:val="00F55105"/>
    <w:rsid w:val="00FA4CF6"/>
    <w:rsid w:val="00FB0B87"/>
    <w:rsid w:val="00FC14EC"/>
    <w:rsid w:val="00FC1EF9"/>
    <w:rsid w:val="00FD3486"/>
    <w:rsid w:val="00FF2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C3706B"/>
  <w15:docId w15:val="{D1AF580D-DA14-4BC1-9483-25EE2A09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76A81"/>
    <w:rPr>
      <w:rFonts w:asciiTheme="minorHAnsi" w:hAnsiTheme="minorHAnsi"/>
      <w:sz w:val="22"/>
    </w:rPr>
  </w:style>
  <w:style w:type="paragraph" w:styleId="Rubrik1">
    <w:name w:val="heading 1"/>
    <w:next w:val="Normal"/>
    <w:qFormat/>
    <w:rsid w:val="00D76A81"/>
    <w:pPr>
      <w:keepNext/>
      <w:spacing w:before="240" w:after="120" w:line="276" w:lineRule="auto"/>
      <w:outlineLvl w:val="0"/>
    </w:pPr>
    <w:rPr>
      <w:rFonts w:ascii="Arial" w:hAnsi="Arial"/>
      <w:b/>
      <w:sz w:val="30"/>
    </w:rPr>
  </w:style>
  <w:style w:type="paragraph" w:styleId="Rubrik2">
    <w:name w:val="heading 2"/>
    <w:next w:val="Normal"/>
    <w:qFormat/>
    <w:rsid w:val="00D76A81"/>
    <w:pPr>
      <w:spacing w:before="240" w:after="60" w:line="290" w:lineRule="exact"/>
      <w:outlineLvl w:val="1"/>
    </w:pPr>
    <w:rPr>
      <w:rFonts w:asciiTheme="majorHAnsi" w:hAnsiTheme="majorHAnsi"/>
      <w:b/>
      <w:noProof/>
      <w:sz w:val="23"/>
    </w:rPr>
  </w:style>
  <w:style w:type="paragraph" w:styleId="Rubrik3">
    <w:name w:val="heading 3"/>
    <w:next w:val="Normal"/>
    <w:qFormat/>
    <w:rsid w:val="00D76A81"/>
    <w:pPr>
      <w:keepNext/>
      <w:spacing w:before="240" w:after="60" w:line="290" w:lineRule="exact"/>
      <w:outlineLvl w:val="2"/>
    </w:pPr>
    <w:rPr>
      <w:rFonts w:ascii="Arial" w:hAnsi="Arial"/>
      <w:b/>
      <w:i/>
      <w:sz w:val="23"/>
    </w:rPr>
  </w:style>
  <w:style w:type="paragraph" w:styleId="Rubrik4">
    <w:name w:val="heading 4"/>
    <w:next w:val="Normal"/>
    <w:link w:val="Rubrik4Char"/>
    <w:qFormat/>
    <w:rsid w:val="00D76A81"/>
    <w:pPr>
      <w:keepNext/>
      <w:spacing w:before="240" w:after="60" w:line="290" w:lineRule="exact"/>
      <w:outlineLvl w:val="3"/>
    </w:pPr>
    <w:rPr>
      <w:rFonts w:asciiTheme="minorHAnsi" w:hAnsiTheme="minorHAnsi"/>
      <w:b/>
      <w:sz w:val="23"/>
    </w:rPr>
  </w:style>
  <w:style w:type="paragraph" w:styleId="Rubrik5">
    <w:name w:val="heading 5"/>
    <w:basedOn w:val="Normal"/>
    <w:next w:val="Normal"/>
    <w:link w:val="Rubrik5Char"/>
    <w:semiHidden/>
    <w:qFormat/>
    <w:rsid w:val="00F55105"/>
    <w:pPr>
      <w:keepNext/>
      <w:keepLines/>
      <w:numPr>
        <w:ilvl w:val="4"/>
        <w:numId w:val="23"/>
      </w:numPr>
      <w:spacing w:before="200"/>
      <w:outlineLvl w:val="4"/>
    </w:pPr>
    <w:rPr>
      <w:rFonts w:asciiTheme="majorHAnsi" w:eastAsiaTheme="majorEastAsia" w:hAnsiTheme="majorHAnsi" w:cstheme="majorBidi"/>
      <w:color w:val="984B00" w:themeColor="accent1" w:themeShade="7F"/>
    </w:rPr>
  </w:style>
  <w:style w:type="paragraph" w:styleId="Rubrik6">
    <w:name w:val="heading 6"/>
    <w:basedOn w:val="Normal"/>
    <w:next w:val="Normal"/>
    <w:link w:val="Rubrik6Char"/>
    <w:semiHidden/>
    <w:qFormat/>
    <w:rsid w:val="00F55105"/>
    <w:pPr>
      <w:keepNext/>
      <w:keepLines/>
      <w:numPr>
        <w:ilvl w:val="5"/>
        <w:numId w:val="23"/>
      </w:numPr>
      <w:spacing w:before="200"/>
      <w:outlineLvl w:val="5"/>
    </w:pPr>
    <w:rPr>
      <w:rFonts w:asciiTheme="majorHAnsi" w:eastAsiaTheme="majorEastAsia" w:hAnsiTheme="majorHAnsi" w:cstheme="majorBidi"/>
      <w:i/>
      <w:iCs/>
      <w:color w:val="984B00" w:themeColor="accent1" w:themeShade="7F"/>
    </w:rPr>
  </w:style>
  <w:style w:type="paragraph" w:styleId="Rubrik7">
    <w:name w:val="heading 7"/>
    <w:basedOn w:val="Normal"/>
    <w:next w:val="Normal"/>
    <w:link w:val="Rubrik7Char"/>
    <w:semiHidden/>
    <w:qFormat/>
    <w:rsid w:val="00F55105"/>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F55105"/>
    <w:pPr>
      <w:keepNext/>
      <w:keepLines/>
      <w:numPr>
        <w:ilvl w:val="7"/>
        <w:numId w:val="23"/>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F55105"/>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90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semiHidden/>
    <w:rsid w:val="00A8289D"/>
    <w:pPr>
      <w:tabs>
        <w:tab w:val="center" w:pos="4536"/>
        <w:tab w:val="right" w:pos="9072"/>
      </w:tabs>
    </w:pPr>
  </w:style>
  <w:style w:type="paragraph" w:styleId="Sidfot">
    <w:name w:val="footer"/>
    <w:semiHidden/>
    <w:rsid w:val="00A8289D"/>
    <w:pPr>
      <w:tabs>
        <w:tab w:val="center" w:pos="4536"/>
        <w:tab w:val="right" w:pos="9072"/>
      </w:tabs>
      <w:spacing w:line="290" w:lineRule="atLeast"/>
    </w:pPr>
    <w:rPr>
      <w:sz w:val="16"/>
    </w:rPr>
  </w:style>
  <w:style w:type="character" w:styleId="Sidnummer">
    <w:name w:val="page number"/>
    <w:basedOn w:val="Standardstycketeckensnitt"/>
    <w:semiHidden/>
    <w:rsid w:val="00A8289D"/>
    <w:rPr>
      <w:rFonts w:ascii="Times New Roman" w:hAnsi="Times New Roman"/>
      <w:noProof w:val="0"/>
      <w:sz w:val="16"/>
      <w:lang w:val="sv-SE"/>
    </w:rPr>
  </w:style>
  <w:style w:type="paragraph" w:styleId="Kommentarer">
    <w:name w:val="annotation text"/>
    <w:semiHidden/>
    <w:rsid w:val="00A8289D"/>
    <w:pPr>
      <w:spacing w:line="290" w:lineRule="atLeast"/>
    </w:pPr>
    <w:rPr>
      <w:sz w:val="16"/>
    </w:rPr>
  </w:style>
  <w:style w:type="paragraph" w:styleId="Punktlista">
    <w:name w:val="List Bullet"/>
    <w:qFormat/>
    <w:rsid w:val="001F7D80"/>
    <w:pPr>
      <w:numPr>
        <w:numId w:val="20"/>
      </w:numPr>
      <w:spacing w:line="290" w:lineRule="atLeast"/>
    </w:pPr>
    <w:rPr>
      <w:sz w:val="23"/>
    </w:rPr>
  </w:style>
  <w:style w:type="paragraph" w:styleId="Punktlista2">
    <w:name w:val="List Bullet 2"/>
    <w:qFormat/>
    <w:rsid w:val="001F7D80"/>
    <w:pPr>
      <w:numPr>
        <w:numId w:val="21"/>
      </w:numPr>
      <w:tabs>
        <w:tab w:val="left" w:pos="510"/>
      </w:tabs>
      <w:spacing w:line="290" w:lineRule="atLeast"/>
    </w:pPr>
    <w:rPr>
      <w:sz w:val="23"/>
    </w:rPr>
  </w:style>
  <w:style w:type="paragraph" w:styleId="Ballongtext">
    <w:name w:val="Balloon Text"/>
    <w:basedOn w:val="Normal"/>
    <w:semiHidden/>
    <w:rsid w:val="00213AA4"/>
    <w:rPr>
      <w:rFonts w:ascii="Tahoma" w:hAnsi="Tahoma" w:cs="Tahoma"/>
      <w:sz w:val="16"/>
      <w:szCs w:val="16"/>
    </w:rPr>
  </w:style>
  <w:style w:type="numbering" w:customStyle="1" w:styleId="ListaHyresgstfreningen">
    <w:name w:val="Lista_Hyresgästföreningen"/>
    <w:uiPriority w:val="99"/>
    <w:rsid w:val="00573CE2"/>
    <w:pPr>
      <w:numPr>
        <w:numId w:val="11"/>
      </w:numPr>
    </w:pPr>
  </w:style>
  <w:style w:type="paragraph" w:styleId="Liststycke">
    <w:name w:val="List Paragraph"/>
    <w:basedOn w:val="Normal"/>
    <w:uiPriority w:val="34"/>
    <w:semiHidden/>
    <w:qFormat/>
    <w:rsid w:val="001F7D80"/>
    <w:pPr>
      <w:ind w:left="720"/>
      <w:contextualSpacing/>
    </w:pPr>
  </w:style>
  <w:style w:type="paragraph" w:styleId="Lista2">
    <w:name w:val="List 2"/>
    <w:basedOn w:val="Normal"/>
    <w:semiHidden/>
    <w:rsid w:val="00573CE2"/>
    <w:pPr>
      <w:numPr>
        <w:ilvl w:val="1"/>
        <w:numId w:val="17"/>
      </w:numPr>
      <w:contextualSpacing/>
    </w:pPr>
  </w:style>
  <w:style w:type="paragraph" w:styleId="Lista3">
    <w:name w:val="List 3"/>
    <w:basedOn w:val="Normal"/>
    <w:semiHidden/>
    <w:rsid w:val="00573CE2"/>
    <w:pPr>
      <w:numPr>
        <w:ilvl w:val="2"/>
        <w:numId w:val="17"/>
      </w:numPr>
      <w:contextualSpacing/>
    </w:pPr>
  </w:style>
  <w:style w:type="paragraph" w:styleId="Fotnotstext">
    <w:name w:val="footnote text"/>
    <w:basedOn w:val="Normal"/>
    <w:link w:val="FotnotstextChar"/>
    <w:semiHidden/>
    <w:rsid w:val="00FB0B87"/>
    <w:rPr>
      <w:sz w:val="18"/>
    </w:rPr>
  </w:style>
  <w:style w:type="character" w:customStyle="1" w:styleId="FotnotstextChar">
    <w:name w:val="Fotnotstext Char"/>
    <w:basedOn w:val="Standardstycketeckensnitt"/>
    <w:link w:val="Fotnotstext"/>
    <w:semiHidden/>
    <w:rsid w:val="00FB0B87"/>
    <w:rPr>
      <w:rFonts w:asciiTheme="minorHAnsi" w:hAnsiTheme="minorHAnsi"/>
      <w:sz w:val="18"/>
    </w:rPr>
  </w:style>
  <w:style w:type="character" w:styleId="Fotnotsreferens">
    <w:name w:val="footnote reference"/>
    <w:basedOn w:val="Standardstycketeckensnitt"/>
    <w:semiHidden/>
    <w:rsid w:val="00FB0B87"/>
    <w:rPr>
      <w:vertAlign w:val="superscript"/>
    </w:rPr>
  </w:style>
  <w:style w:type="paragraph" w:styleId="Innehll1">
    <w:name w:val="toc 1"/>
    <w:basedOn w:val="Normal"/>
    <w:next w:val="Normal"/>
    <w:uiPriority w:val="39"/>
    <w:qFormat/>
    <w:rsid w:val="00D76A81"/>
    <w:pPr>
      <w:tabs>
        <w:tab w:val="left" w:pos="851"/>
        <w:tab w:val="right" w:leader="dot" w:pos="6679"/>
      </w:tabs>
      <w:spacing w:before="120" w:after="20"/>
    </w:pPr>
    <w:rPr>
      <w:b/>
      <w:noProof/>
      <w:sz w:val="23"/>
    </w:rPr>
  </w:style>
  <w:style w:type="paragraph" w:styleId="Innehll2">
    <w:name w:val="toc 2"/>
    <w:basedOn w:val="Normal"/>
    <w:next w:val="Normal"/>
    <w:uiPriority w:val="39"/>
    <w:qFormat/>
    <w:rsid w:val="00D76A81"/>
    <w:pPr>
      <w:tabs>
        <w:tab w:val="left" w:pos="851"/>
        <w:tab w:val="right" w:leader="dot" w:pos="6679"/>
      </w:tabs>
      <w:spacing w:before="20" w:after="20"/>
    </w:pPr>
    <w:rPr>
      <w:noProof/>
      <w:sz w:val="23"/>
    </w:rPr>
  </w:style>
  <w:style w:type="paragraph" w:styleId="Innehll3">
    <w:name w:val="toc 3"/>
    <w:basedOn w:val="Normal"/>
    <w:next w:val="Normal"/>
    <w:uiPriority w:val="39"/>
    <w:qFormat/>
    <w:rsid w:val="00D76A81"/>
    <w:pPr>
      <w:tabs>
        <w:tab w:val="left" w:pos="851"/>
        <w:tab w:val="right" w:leader="dot" w:pos="6679"/>
      </w:tabs>
      <w:spacing w:before="20" w:after="20"/>
    </w:pPr>
    <w:rPr>
      <w:i/>
      <w:noProof/>
      <w:sz w:val="23"/>
    </w:rPr>
  </w:style>
  <w:style w:type="paragraph" w:styleId="Innehll5">
    <w:name w:val="toc 5"/>
    <w:basedOn w:val="Innehll2"/>
    <w:next w:val="Normal"/>
    <w:semiHidden/>
    <w:rsid w:val="00AF3F22"/>
    <w:pPr>
      <w:tabs>
        <w:tab w:val="clear" w:pos="851"/>
      </w:tabs>
    </w:pPr>
  </w:style>
  <w:style w:type="paragraph" w:styleId="Innehll6">
    <w:name w:val="toc 6"/>
    <w:basedOn w:val="Innehll2"/>
    <w:next w:val="Normal"/>
    <w:semiHidden/>
    <w:rsid w:val="00AF3F22"/>
    <w:pPr>
      <w:tabs>
        <w:tab w:val="clear" w:pos="851"/>
      </w:tabs>
    </w:pPr>
  </w:style>
  <w:style w:type="paragraph" w:styleId="Innehll7">
    <w:name w:val="toc 7"/>
    <w:basedOn w:val="Innehll3"/>
    <w:next w:val="Normal"/>
    <w:semiHidden/>
    <w:rsid w:val="00AF3F22"/>
    <w:pPr>
      <w:tabs>
        <w:tab w:val="clear" w:pos="851"/>
      </w:tabs>
    </w:pPr>
  </w:style>
  <w:style w:type="paragraph" w:styleId="Innehll8">
    <w:name w:val="toc 8"/>
    <w:basedOn w:val="Innehll4"/>
    <w:next w:val="Normal"/>
    <w:semiHidden/>
    <w:rsid w:val="00AF3F22"/>
  </w:style>
  <w:style w:type="paragraph" w:styleId="Innehll4">
    <w:name w:val="toc 4"/>
    <w:basedOn w:val="Normal"/>
    <w:next w:val="Normal"/>
    <w:uiPriority w:val="39"/>
    <w:semiHidden/>
    <w:rsid w:val="005B6ACD"/>
    <w:pPr>
      <w:tabs>
        <w:tab w:val="left" w:pos="851"/>
        <w:tab w:val="right" w:leader="dot" w:pos="6679"/>
      </w:tabs>
      <w:spacing w:before="20" w:after="20" w:line="276" w:lineRule="auto"/>
    </w:pPr>
    <w:rPr>
      <w:noProof/>
      <w:sz w:val="20"/>
    </w:rPr>
  </w:style>
  <w:style w:type="table" w:styleId="Diskrettabell1">
    <w:name w:val="Table Subtle 1"/>
    <w:basedOn w:val="Normaltabell"/>
    <w:semiHidden/>
    <w:rsid w:val="00E969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969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969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969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969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969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E969D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969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969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E969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E969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E969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969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969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969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E969D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969D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969D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969D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969D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969D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969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969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969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969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969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969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969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969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969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969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E969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969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969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969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969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969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969D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969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E969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969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969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4Char">
    <w:name w:val="Rubrik 4 Char"/>
    <w:basedOn w:val="Standardstycketeckensnitt"/>
    <w:link w:val="Rubrik4"/>
    <w:rsid w:val="00F55105"/>
    <w:rPr>
      <w:rFonts w:asciiTheme="minorHAnsi" w:hAnsiTheme="minorHAnsi"/>
      <w:b/>
      <w:sz w:val="23"/>
    </w:rPr>
  </w:style>
  <w:style w:type="character" w:styleId="Platshllartext">
    <w:name w:val="Placeholder Text"/>
    <w:basedOn w:val="Standardstycketeckensnitt"/>
    <w:uiPriority w:val="99"/>
    <w:semiHidden/>
    <w:rsid w:val="00F55105"/>
    <w:rPr>
      <w:color w:val="808080"/>
    </w:rPr>
  </w:style>
  <w:style w:type="character" w:customStyle="1" w:styleId="Rubrik5Char">
    <w:name w:val="Rubrik 5 Char"/>
    <w:basedOn w:val="Standardstycketeckensnitt"/>
    <w:link w:val="Rubrik5"/>
    <w:semiHidden/>
    <w:rsid w:val="00F55105"/>
    <w:rPr>
      <w:rFonts w:asciiTheme="majorHAnsi" w:eastAsiaTheme="majorEastAsia" w:hAnsiTheme="majorHAnsi" w:cstheme="majorBidi"/>
      <w:color w:val="984B00" w:themeColor="accent1" w:themeShade="7F"/>
      <w:sz w:val="22"/>
    </w:rPr>
  </w:style>
  <w:style w:type="character" w:customStyle="1" w:styleId="Rubrik6Char">
    <w:name w:val="Rubrik 6 Char"/>
    <w:basedOn w:val="Standardstycketeckensnitt"/>
    <w:link w:val="Rubrik6"/>
    <w:semiHidden/>
    <w:rsid w:val="00F55105"/>
    <w:rPr>
      <w:rFonts w:asciiTheme="majorHAnsi" w:eastAsiaTheme="majorEastAsia" w:hAnsiTheme="majorHAnsi" w:cstheme="majorBidi"/>
      <w:i/>
      <w:iCs/>
      <w:color w:val="984B00" w:themeColor="accent1" w:themeShade="7F"/>
      <w:sz w:val="22"/>
    </w:rPr>
  </w:style>
  <w:style w:type="character" w:customStyle="1" w:styleId="Rubrik7Char">
    <w:name w:val="Rubrik 7 Char"/>
    <w:basedOn w:val="Standardstycketeckensnitt"/>
    <w:link w:val="Rubrik7"/>
    <w:semiHidden/>
    <w:rsid w:val="00F55105"/>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F55105"/>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F55105"/>
    <w:rPr>
      <w:rFonts w:asciiTheme="majorHAnsi" w:eastAsiaTheme="majorEastAsia" w:hAnsiTheme="majorHAnsi" w:cstheme="majorBidi"/>
      <w:i/>
      <w:iCs/>
      <w:color w:val="404040" w:themeColor="text1" w:themeTint="BF"/>
    </w:rPr>
  </w:style>
  <w:style w:type="paragraph" w:customStyle="1" w:styleId="Numreradrubrikniv1">
    <w:name w:val="Numrerad rubrik nivå 1"/>
    <w:basedOn w:val="Rubrik1"/>
    <w:next w:val="Normal"/>
    <w:uiPriority w:val="2"/>
    <w:qFormat/>
    <w:rsid w:val="00F55105"/>
    <w:pPr>
      <w:numPr>
        <w:numId w:val="31"/>
      </w:numPr>
    </w:pPr>
  </w:style>
  <w:style w:type="paragraph" w:customStyle="1" w:styleId="Numreradrubrikniv2">
    <w:name w:val="Numrerad rubrik nivå 2"/>
    <w:basedOn w:val="Rubrik2"/>
    <w:next w:val="Normal"/>
    <w:uiPriority w:val="2"/>
    <w:qFormat/>
    <w:rsid w:val="00F55105"/>
    <w:pPr>
      <w:numPr>
        <w:ilvl w:val="1"/>
        <w:numId w:val="31"/>
      </w:numPr>
    </w:pPr>
  </w:style>
  <w:style w:type="paragraph" w:customStyle="1" w:styleId="Numreradrubrikniv3">
    <w:name w:val="Numrerad rubrik nivå 3"/>
    <w:basedOn w:val="Rubrik3"/>
    <w:next w:val="Normal"/>
    <w:uiPriority w:val="2"/>
    <w:qFormat/>
    <w:rsid w:val="00F55105"/>
    <w:pPr>
      <w:numPr>
        <w:ilvl w:val="2"/>
        <w:numId w:val="31"/>
      </w:numPr>
    </w:pPr>
  </w:style>
  <w:style w:type="paragraph" w:customStyle="1" w:styleId="Numreradrubrikniv4">
    <w:name w:val="Numrerad rubrik nivå 4"/>
    <w:next w:val="Normal"/>
    <w:uiPriority w:val="2"/>
    <w:qFormat/>
    <w:rsid w:val="00F55105"/>
    <w:pPr>
      <w:numPr>
        <w:ilvl w:val="3"/>
        <w:numId w:val="31"/>
      </w:numPr>
      <w:spacing w:before="240" w:after="60"/>
    </w:pPr>
    <w:rPr>
      <w:rFonts w:asciiTheme="minorHAnsi" w:hAnsiTheme="minorHAnsi"/>
      <w:b/>
      <w:sz w:val="23"/>
    </w:rPr>
  </w:style>
  <w:style w:type="character" w:styleId="Hyperlnk">
    <w:name w:val="Hyperlink"/>
    <w:basedOn w:val="Standardstycketeckensnitt"/>
    <w:uiPriority w:val="99"/>
    <w:unhideWhenUsed/>
    <w:rsid w:val="00F55105"/>
    <w:rPr>
      <w:color w:val="0000FF" w:themeColor="hyperlink"/>
      <w:u w:val="single"/>
    </w:rPr>
  </w:style>
  <w:style w:type="paragraph" w:styleId="Innehllsfrteckningsrubrik">
    <w:name w:val="TOC Heading"/>
    <w:basedOn w:val="Rubrik1"/>
    <w:next w:val="Normal"/>
    <w:uiPriority w:val="39"/>
    <w:qFormat/>
    <w:rsid w:val="00F55105"/>
    <w:pPr>
      <w:keepLines/>
      <w:spacing w:before="480" w:after="0" w:line="240" w:lineRule="auto"/>
      <w:outlineLvl w:val="9"/>
    </w:pPr>
    <w:rPr>
      <w:rFonts w:asciiTheme="majorHAnsi" w:eastAsiaTheme="majorEastAsia" w:hAnsiTheme="majorHAnsi" w:cstheme="majorBidi"/>
      <w:bCs/>
      <w:sz w:val="23"/>
      <w:szCs w:val="28"/>
    </w:rPr>
  </w:style>
  <w:style w:type="character" w:styleId="Stark">
    <w:name w:val="Strong"/>
    <w:basedOn w:val="Standardstycketeckensnitt"/>
    <w:uiPriority w:val="22"/>
    <w:qFormat/>
    <w:rsid w:val="00B71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Hyresgästföreningen word_ny">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MS Document" ma:contentTypeID="0x0101007A60771C5753A247A9E629B69FD0F51E1000969AF10B0087BB449922B710A67A7510" ma:contentTypeVersion="8" ma:contentTypeDescription="Used to store CMS documents in the CMS Library." ma:contentTypeScope="" ma:versionID="d8860bcc8695a057acb4c92b406105b0">
  <xsd:schema xmlns:xsd="http://www.w3.org/2001/XMLSchema" xmlns:xs="http://www.w3.org/2001/XMLSchema" xmlns:p="http://schemas.microsoft.com/office/2006/metadata/properties" xmlns:ns2="e8a0204c-2db7-4578-a6ec-d94542fc1303" targetNamespace="http://schemas.microsoft.com/office/2006/metadata/properties" ma:root="true" ma:fieldsID="fb8bd06c21a19513a5245429f59285a4" ns2:_="">
    <xsd:import namespace="e8a0204c-2db7-4578-a6ec-d94542fc1303"/>
    <xsd:element name="properties">
      <xsd:complexType>
        <xsd:sequence>
          <xsd:element name="documentManagement">
            <xsd:complexType>
              <xsd:all>
                <xsd:element ref="ns2:TaxCatchAll" minOccurs="0"/>
                <xsd:element ref="ns2:TaxCatchAllLabel" minOccurs="0"/>
                <xsd:element ref="ns2:h6e0c06a4697484194118a00118ec1fd" minOccurs="0"/>
                <xsd:element ref="ns2:i2f20c5a763047ab80b7a332d1c110de" minOccurs="0"/>
                <xsd:element ref="ns2:ha5956d0923d4475b900c611051b9b31" minOccurs="0"/>
                <xsd:element ref="ns2:o9dbd360734445ed94ef20f7f9e9d380" minOccurs="0"/>
                <xsd:element ref="ns2:ACTOwner" minOccurs="0"/>
                <xsd:element ref="ns2:ACTCMSLibrarySearchSettings" minOccurs="0"/>
                <xsd:element ref="ns2:ACTLibraryGroupName" minOccurs="0"/>
                <xsd:element ref="ns2:ACTLibraryFilterName" minOccurs="0"/>
                <xsd:element ref="ns2:ga07bd893ea142248bcf1c2a41a863f9" minOccurs="0"/>
                <xsd:element ref="ns2:ACTCMS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204c-2db7-4578-a6ec-d94542fc130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629dd31-5b6b-4ab5-a97e-cceb55249038}" ma:internalName="TaxCatchAll" ma:showField="CatchAllData" ma:web="e069d34d-497a-45b1-885e-2cf8a0e6aa8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629dd31-5b6b-4ab5-a97e-cceb55249038}" ma:internalName="TaxCatchAllLabel" ma:readOnly="true" ma:showField="CatchAllDataLabel" ma:web="e069d34d-497a-45b1-885e-2cf8a0e6aa8b">
      <xsd:complexType>
        <xsd:complexContent>
          <xsd:extension base="dms:MultiChoiceLookup">
            <xsd:sequence>
              <xsd:element name="Value" type="dms:Lookup" maxOccurs="unbounded" minOccurs="0" nillable="true"/>
            </xsd:sequence>
          </xsd:extension>
        </xsd:complexContent>
      </xsd:complexType>
    </xsd:element>
    <xsd:element name="h6e0c06a4697484194118a00118ec1fd" ma:index="10" nillable="true" ma:taxonomy="true" ma:internalName="h6e0c06a4697484194118a00118ec1fd" ma:taxonomyFieldName="ACTSectors" ma:displayName="Sectors" ma:fieldId="{16e0c06a-4697-4841-9411-8a00118ec1fd}" ma:taxonomyMulti="true" ma:sspId="b1e5add9-af6e-43c1-a9ac-ac42a4c4c3f7" ma:termSetId="b6c35846-b917-4dc9-993c-fa52da0d6049" ma:anchorId="e6073710-56f1-4070-a4ef-ec6118445ae1" ma:open="false" ma:isKeyword="false">
      <xsd:complexType>
        <xsd:sequence>
          <xsd:element ref="pc:Terms" minOccurs="0" maxOccurs="1"/>
        </xsd:sequence>
      </xsd:complexType>
    </xsd:element>
    <xsd:element name="i2f20c5a763047ab80b7a332d1c110de" ma:index="12" nillable="true" ma:taxonomy="true" ma:internalName="i2f20c5a763047ab80b7a332d1c110de" ma:taxonomyFieldName="ACTFunctions" ma:displayName="Functions" ma:fieldId="{22f20c5a-7630-47ab-80b7-a332d1c110de}" ma:taxonomyMulti="true" ma:sspId="b1e5add9-af6e-43c1-a9ac-ac42a4c4c3f7" ma:termSetId="5df8141a-67c1-400f-ad0a-ce2e018fc224" ma:anchorId="3a508ea6-fe5d-491f-bd64-5fc2fbb4a154" ma:open="false" ma:isKeyword="false">
      <xsd:complexType>
        <xsd:sequence>
          <xsd:element ref="pc:Terms" minOccurs="0" maxOccurs="1"/>
        </xsd:sequence>
      </xsd:complexType>
    </xsd:element>
    <xsd:element name="ha5956d0923d4475b900c611051b9b31" ma:index="14" nillable="true" ma:taxonomy="true" ma:internalName="ha5956d0923d4475b900c611051b9b31" ma:taxonomyFieldName="ACTLocations" ma:displayName="Locations" ma:fieldId="{1a5956d0-923d-4475-b900-c611051b9b31}" ma:taxonomyMulti="true" ma:sspId="b1e5add9-af6e-43c1-a9ac-ac42a4c4c3f7" ma:termSetId="5df8141a-67c1-400f-ad0a-ce2e018fc224" ma:anchorId="9a9a87e7-6764-46e2-99be-cf54adda6bff" ma:open="false" ma:isKeyword="false">
      <xsd:complexType>
        <xsd:sequence>
          <xsd:element ref="pc:Terms" minOccurs="0" maxOccurs="1"/>
        </xsd:sequence>
      </xsd:complexType>
    </xsd:element>
    <xsd:element name="o9dbd360734445ed94ef20f7f9e9d380" ma:index="16" nillable="true" ma:taxonomy="true" ma:internalName="o9dbd360734445ed94ef20f7f9e9d380" ma:taxonomyFieldName="ACTKnowledgeAreas" ma:displayName="Knowledge Areas" ma:fieldId="{89dbd360-7344-45ed-94ef-20f7f9e9d380}" ma:taxonomyMulti="true" ma:sspId="b1e5add9-af6e-43c1-a9ac-ac42a4c4c3f7" ma:termSetId="5df8141a-67c1-400f-ad0a-ce2e018fc224" ma:anchorId="45c65fe5-49b1-4382-96f1-d1ba0f5aba24" ma:open="false" ma:isKeyword="false">
      <xsd:complexType>
        <xsd:sequence>
          <xsd:element ref="pc:Terms" minOccurs="0" maxOccurs="1"/>
        </xsd:sequence>
      </xsd:complexType>
    </xsd:element>
    <xsd:element name="ACTOwner" ma:index="18" nillable="true" ma:displayName="Owner" ma:description="" ma:list="UserInfo" ma:SharePointGroup="0" ma:internalName="A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CMSLibrarySearchSettings" ma:index="19" nillable="true" ma:displayName="Library Search Settings" ma:description="Search settings for editorial pipeline" ma:internalName="ACTCMSLibrarySearchSettings">
      <xsd:simpleType>
        <xsd:restriction base="dms:Note">
          <xsd:maxLength value="255"/>
        </xsd:restriction>
      </xsd:simpleType>
    </xsd:element>
    <xsd:element name="ACTLibraryGroupName" ma:index="20" nillable="true" ma:displayName="Library Group Name" ma:description="Name of the Group used for the CMS Pages library" ma:internalName="ACTLibraryGroupName">
      <xsd:simpleType>
        <xsd:restriction base="dms:Text">
          <xsd:maxLength value="255"/>
        </xsd:restriction>
      </xsd:simpleType>
    </xsd:element>
    <xsd:element name="ACTLibraryFilterName" ma:index="21" nillable="true" ma:displayName="Library Filter Name" ma:description="Name of the filter used for the CMS Pages library." ma:internalName="ACTLibraryFilterName">
      <xsd:simpleType>
        <xsd:restriction base="dms:Text">
          <xsd:maxLength value="255"/>
        </xsd:restriction>
      </xsd:simpleType>
    </xsd:element>
    <xsd:element name="ga07bd893ea142248bcf1c2a41a863f9" ma:index="22" nillable="true" ma:taxonomy="true" ma:internalName="ga07bd893ea142248bcf1c2a41a863f9" ma:taxonomyFieldName="ACTWorkspaceDocumentType" ma:displayName="Workspace Document Type" ma:fieldId="{0a07bd89-3ea1-4224-8bcf-1c2a41a863f9}" ma:sspId="b1e5add9-af6e-43c1-a9ac-ac42a4c4c3f7" ma:termSetId="e1af050d-955c-435e-bfd7-21f0d1373a70" ma:anchorId="93c40830-b156-4c36-a673-1db7dde9dac1" ma:open="false" ma:isKeyword="false">
      <xsd:complexType>
        <xsd:sequence>
          <xsd:element ref="pc:Terms" minOccurs="0" maxOccurs="1"/>
        </xsd:sequence>
      </xsd:complexType>
    </xsd:element>
    <xsd:element name="ACTCMSDocumentType" ma:index="24" nillable="true" ma:displayName="CMS Document Type" ma:description="Type of the document" ma:format="Dropdown" ma:internalName="ACTCMSDocumentType">
      <xsd:simpleType>
        <xsd:restriction base="dms:Choice">
          <xsd:enumeration value="Document Type 1"/>
          <xsd:enumeration value="Document Type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a0204c-2db7-4578-a6ec-d94542fc1303"/>
    <ACTLibraryGroupName xmlns="e8a0204c-2db7-4578-a6ec-d94542fc1303" xsi:nil="true"/>
    <ACTOwner xmlns="e8a0204c-2db7-4578-a6ec-d94542fc1303">
      <UserInfo>
        <DisplayName/>
        <AccountId xsi:nil="true"/>
        <AccountType/>
      </UserInfo>
    </ACTOwner>
    <ACTCMSLibrarySearchSettings xmlns="e8a0204c-2db7-4578-a6ec-d94542fc1303" xsi:nil="true"/>
    <ACTLibraryFilterName xmlns="e8a0204c-2db7-4578-a6ec-d94542fc1303" xsi:nil="true"/>
    <i2f20c5a763047ab80b7a332d1c110de xmlns="e8a0204c-2db7-4578-a6ec-d94542fc1303">
      <Terms xmlns="http://schemas.microsoft.com/office/infopath/2007/PartnerControls"/>
    </i2f20c5a763047ab80b7a332d1c110de>
    <o9dbd360734445ed94ef20f7f9e9d380 xmlns="e8a0204c-2db7-4578-a6ec-d94542fc1303">
      <Terms xmlns="http://schemas.microsoft.com/office/infopath/2007/PartnerControls"/>
    </o9dbd360734445ed94ef20f7f9e9d380>
    <ha5956d0923d4475b900c611051b9b31 xmlns="e8a0204c-2db7-4578-a6ec-d94542fc1303">
      <Terms xmlns="http://schemas.microsoft.com/office/infopath/2007/PartnerControls"/>
    </ha5956d0923d4475b900c611051b9b31>
    <h6e0c06a4697484194118a00118ec1fd xmlns="e8a0204c-2db7-4578-a6ec-d94542fc1303">
      <Terms xmlns="http://schemas.microsoft.com/office/infopath/2007/PartnerControls"/>
    </h6e0c06a4697484194118a00118ec1fd>
    <ga07bd893ea142248bcf1c2a41a863f9 xmlns="e8a0204c-2db7-4578-a6ec-d94542fc1303">
      <Terms xmlns="http://schemas.microsoft.com/office/infopath/2007/PartnerControls"/>
    </ga07bd893ea142248bcf1c2a41a863f9>
    <ACTCMSDocumentType xmlns="e8a0204c-2db7-4578-a6ec-d94542fc1303" xsi:nil="true"/>
  </documentManagement>
</p:properties>
</file>

<file path=customXml/item4.xml><?xml version="1.0" encoding="utf-8"?>
<?mso-contentType ?>
<FormUrls xmlns="http://schemas.microsoft.com/sharepoint/v3/contenttype/forms/url">
  <Display>~site/_layouts/HGF.Intranet.UI/ViewMetadataOnDocuments.aspx</Display>
  <Edit>~site/_layouts/HGF.Intranet.UI/UpdataMetadataOnDocuments.aspx</Edit>
</FormUrls>
</file>

<file path=customXml/item5.xml><?xml version="1.0" encoding="utf-8"?>
<?mso-contentType ?>
<SharedContentType xmlns="Microsoft.SharePoint.Taxonomy.ContentTypeSync" SourceId="b1e5add9-af6e-43c1-a9ac-ac42a4c4c3f7" ContentTypeId="0x0101007A60771C5753A247A9E629B69FD0F51E10"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BDD4-DDAD-440E-9B47-389F9DF14C4B}"/>
</file>

<file path=customXml/itemProps2.xml><?xml version="1.0" encoding="utf-8"?>
<ds:datastoreItem xmlns:ds="http://schemas.openxmlformats.org/officeDocument/2006/customXml" ds:itemID="{C94A1C41-743E-43DC-87F3-3C82DFCF1080}"/>
</file>

<file path=customXml/itemProps3.xml><?xml version="1.0" encoding="utf-8"?>
<ds:datastoreItem xmlns:ds="http://schemas.openxmlformats.org/officeDocument/2006/customXml" ds:itemID="{0B32AAE8-33E5-4120-9B04-1D5613D9D2E2}"/>
</file>

<file path=customXml/itemProps4.xml><?xml version="1.0" encoding="utf-8"?>
<ds:datastoreItem xmlns:ds="http://schemas.openxmlformats.org/officeDocument/2006/customXml" ds:itemID="{A18D7CFE-7F77-47BB-A339-7D563252805E}"/>
</file>

<file path=customXml/itemProps5.xml><?xml version="1.0" encoding="utf-8"?>
<ds:datastoreItem xmlns:ds="http://schemas.openxmlformats.org/officeDocument/2006/customXml" ds:itemID="{D9BA3863-F6DC-4907-8F10-E1620E3CB979}"/>
</file>

<file path=customXml/itemProps6.xml><?xml version="1.0" encoding="utf-8"?>
<ds:datastoreItem xmlns:ds="http://schemas.openxmlformats.org/officeDocument/2006/customXml" ds:itemID="{A0E51C9B-D294-434C-9F37-2AC499748660}"/>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4265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Hyresgästföreningen</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Lise-Lott Jansson Dufwa</dc:creator>
  <cp:lastModifiedBy>Jenny Hellspong</cp:lastModifiedBy>
  <cp:revision>2</cp:revision>
  <cp:lastPrinted>2008-11-25T09:11:00Z</cp:lastPrinted>
  <dcterms:created xsi:type="dcterms:W3CDTF">2017-02-16T08:51:00Z</dcterms:created>
  <dcterms:modified xsi:type="dcterms:W3CDTF">2017-02-16T08:51:00Z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0x0101007A60771C5753A247A9E629B69FD0F51E1000969AF10B0087BB449922B710A67A7510</vt:lpwstr>
  </property>
  <property fmtid="{D5CDD505-2E9C-101B-9397-08002B2CF9AE}" pid="3" name="HGFDecisionMakerTaxHTField0">
    <vt:lpwstr/>
  </property>
  <property fmtid="{D5CDD505-2E9C-101B-9397-08002B2CF9AE}" pid="4" name="HGFBusiness">
    <vt:lpwstr>3;#Lokalt utvecklingsarbete|aba9de76-9011-446e-8450-5e951d385186</vt:lpwstr>
  </property>
  <property fmtid="{D5CDD505-2E9C-101B-9397-08002B2CF9AE}" pid="5" name="HGFAppliesToTaxHTField0">
    <vt:lpwstr/>
  </property>
  <property fmtid="{D5CDD505-2E9C-101B-9397-08002B2CF9AE}" pid="6" name="HGFDecisionMaker">
    <vt:lpwstr/>
  </property>
  <property fmtid="{D5CDD505-2E9C-101B-9397-08002B2CF9AE}" pid="7" name="HGFKeywords">
    <vt:lpwstr/>
  </property>
  <property fmtid="{D5CDD505-2E9C-101B-9397-08002B2CF9AE}" pid="8" name="HGFRegion">
    <vt:lpwstr>2;#Region Stockholm|dffd379e-2f5c-41d3-be85-662d4b2a6155</vt:lpwstr>
  </property>
  <property fmtid="{D5CDD505-2E9C-101B-9397-08002B2CF9AE}" pid="9" name="HGFAppliesTo">
    <vt:lpwstr/>
  </property>
  <property fmtid="{D5CDD505-2E9C-101B-9397-08002B2CF9AE}" pid="10" name="_dlc_DocIdItemGuid">
    <vt:lpwstr>71eb73e8-25bb-49db-8512-32788a1a8893</vt:lpwstr>
  </property>
  <property fmtid="{D5CDD505-2E9C-101B-9397-08002B2CF9AE}" pid="11" name="HGFDocType">
    <vt:lpwstr>16;#Presentation|e38ef5bd-98ee-4e6f-82a1-f7252267416c</vt:lpwstr>
  </property>
  <property fmtid="{D5CDD505-2E9C-101B-9397-08002B2CF9AE}" pid="12" name="HGFFileType">
    <vt:lpwstr/>
  </property>
  <property fmtid="{D5CDD505-2E9C-101B-9397-08002B2CF9AE}" pid="13" name="ACTKnowledgeAreas">
    <vt:lpwstr/>
  </property>
  <property fmtid="{D5CDD505-2E9C-101B-9397-08002B2CF9AE}" pid="14" name="ACTWorkspaceDocumentType">
    <vt:lpwstr/>
  </property>
  <property fmtid="{D5CDD505-2E9C-101B-9397-08002B2CF9AE}" pid="15" name="ACTSectors">
    <vt:lpwstr/>
  </property>
  <property fmtid="{D5CDD505-2E9C-101B-9397-08002B2CF9AE}" pid="16" name="ACTLocations">
    <vt:lpwstr/>
  </property>
  <property fmtid="{D5CDD505-2E9C-101B-9397-08002B2CF9AE}" pid="17" name="ACTFunctions">
    <vt:lpwstr/>
  </property>
</Properties>
</file>